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D" w:rsidRPr="00BA1164" w:rsidRDefault="009F2D5D" w:rsidP="009F2D5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A1164">
        <w:rPr>
          <w:rFonts w:ascii="Arial" w:hAnsi="Arial" w:cs="Arial"/>
          <w:b/>
          <w:bCs/>
          <w:sz w:val="28"/>
          <w:szCs w:val="28"/>
        </w:rPr>
        <w:t>Smlouva o poskytnutí dotace na celoroční činnost</w:t>
      </w:r>
    </w:p>
    <w:p w:rsidR="00EC7489" w:rsidRDefault="009F2D5D" w:rsidP="000610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1164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>
        <w:rPr>
          <w:rFonts w:ascii="Arial" w:hAnsi="Arial" w:cs="Arial"/>
          <w:sz w:val="22"/>
          <w:szCs w:val="22"/>
        </w:rPr>
        <w:t xml:space="preserve"> č. </w:t>
      </w:r>
      <w:r w:rsidR="00DB5920">
        <w:rPr>
          <w:rFonts w:ascii="Arial" w:hAnsi="Arial" w:cs="Arial"/>
          <w:sz w:val="22"/>
          <w:szCs w:val="22"/>
        </w:rPr>
        <w:t>1</w:t>
      </w:r>
      <w:r w:rsidR="00D26118">
        <w:rPr>
          <w:rFonts w:ascii="Arial" w:hAnsi="Arial" w:cs="Arial"/>
          <w:sz w:val="22"/>
          <w:szCs w:val="22"/>
        </w:rPr>
        <w:t>/201</w:t>
      </w:r>
      <w:r w:rsidR="00244F21">
        <w:rPr>
          <w:rFonts w:ascii="Arial" w:hAnsi="Arial" w:cs="Arial"/>
          <w:sz w:val="22"/>
          <w:szCs w:val="22"/>
        </w:rPr>
        <w:t>9</w:t>
      </w:r>
    </w:p>
    <w:p w:rsidR="00E66A89" w:rsidRPr="00E4095A" w:rsidRDefault="00E66A89" w:rsidP="00E66A89">
      <w:pPr>
        <w:jc w:val="both"/>
        <w:rPr>
          <w:rFonts w:ascii="Arial" w:hAnsi="Arial" w:cs="Arial"/>
          <w:i/>
        </w:rPr>
      </w:pPr>
    </w:p>
    <w:p w:rsidR="00F80CEB" w:rsidRDefault="000417CB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Bezměrov</w:t>
      </w:r>
    </w:p>
    <w:p w:rsidR="000417CB" w:rsidRDefault="000417CB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Bezměrov 155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IČO: </w:t>
      </w:r>
      <w:r w:rsidR="000417CB">
        <w:rPr>
          <w:rFonts w:ascii="Arial" w:hAnsi="Arial" w:cs="Arial"/>
          <w:sz w:val="22"/>
          <w:szCs w:val="22"/>
        </w:rPr>
        <w:t>00284071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DIČ: </w:t>
      </w:r>
      <w:r w:rsidR="000417CB">
        <w:rPr>
          <w:rFonts w:ascii="Arial" w:hAnsi="Arial" w:cs="Arial"/>
          <w:sz w:val="22"/>
          <w:szCs w:val="22"/>
        </w:rPr>
        <w:t>CZ00287041</w:t>
      </w:r>
    </w:p>
    <w:p w:rsidR="00E4095A" w:rsidRDefault="000417C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E4095A" w:rsidRPr="00C70CD2">
        <w:rPr>
          <w:rFonts w:ascii="Arial" w:hAnsi="Arial" w:cs="Arial"/>
          <w:sz w:val="22"/>
          <w:szCs w:val="22"/>
        </w:rPr>
        <w:t xml:space="preserve"> starostou </w:t>
      </w:r>
      <w:r>
        <w:rPr>
          <w:rFonts w:ascii="Arial" w:hAnsi="Arial" w:cs="Arial"/>
          <w:sz w:val="22"/>
          <w:szCs w:val="22"/>
        </w:rPr>
        <w:t>obce</w:t>
      </w:r>
      <w:r w:rsidR="00E4095A" w:rsidRPr="00C70CD2">
        <w:rPr>
          <w:rFonts w:ascii="Arial" w:hAnsi="Arial" w:cs="Arial"/>
          <w:sz w:val="22"/>
          <w:szCs w:val="22"/>
        </w:rPr>
        <w:t xml:space="preserve">, </w:t>
      </w:r>
    </w:p>
    <w:p w:rsidR="000417CB" w:rsidRPr="00C70CD2" w:rsidRDefault="000417C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Josefem Večerkou</w:t>
      </w:r>
    </w:p>
    <w:p w:rsidR="00E4095A" w:rsidRPr="00C70CD2" w:rsidRDefault="00E4095A" w:rsidP="00E4095A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Bankovní spojení:</w:t>
      </w:r>
      <w:r w:rsidR="000417CB">
        <w:rPr>
          <w:rFonts w:ascii="Arial" w:hAnsi="Arial" w:cs="Arial"/>
          <w:sz w:val="22"/>
          <w:szCs w:val="22"/>
        </w:rPr>
        <w:t>1483120369/0800</w:t>
      </w:r>
    </w:p>
    <w:p w:rsidR="00F80CEB" w:rsidRDefault="00F80CE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66A89" w:rsidRPr="00C70CD2" w:rsidRDefault="00F80CEB" w:rsidP="00061016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 </w:t>
      </w:r>
      <w:r w:rsidR="00E4095A" w:rsidRPr="00C70CD2">
        <w:rPr>
          <w:rFonts w:ascii="Arial" w:hAnsi="Arial" w:cs="Arial"/>
          <w:sz w:val="22"/>
          <w:szCs w:val="22"/>
        </w:rPr>
        <w:t>(dále jen jako „poskytovatel“)</w:t>
      </w:r>
    </w:p>
    <w:p w:rsidR="00E66A89" w:rsidRDefault="00842AB9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B5920" w:rsidRDefault="00DB5920" w:rsidP="00DB592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B5920" w:rsidRDefault="00DB5920" w:rsidP="00DB5920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FC AJAX Bezměrov 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Bezměrov č. 68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47934395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Zastoupený  předsedou</w:t>
      </w:r>
      <w:proofErr w:type="gramEnd"/>
      <w:r>
        <w:rPr>
          <w:rFonts w:ascii="Arial" w:hAnsi="Arial" w:cs="Arial"/>
          <w:sz w:val="22"/>
          <w:szCs w:val="22"/>
        </w:rPr>
        <w:t xml:space="preserve"> klubu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Panem Romanem Fuksou</w:t>
      </w:r>
    </w:p>
    <w:p w:rsidR="00DB5920" w:rsidRDefault="00DB5920" w:rsidP="00DB5920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 : </w:t>
      </w:r>
      <w:proofErr w:type="spellStart"/>
      <w:r>
        <w:rPr>
          <w:rFonts w:ascii="Arial" w:hAnsi="Arial" w:cs="Arial"/>
          <w:b/>
          <w:sz w:val="22"/>
          <w:szCs w:val="22"/>
        </w:rPr>
        <w:t>Fio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banka, a. s.</w:t>
      </w:r>
    </w:p>
    <w:p w:rsidR="00842AB9" w:rsidRPr="00C70CD2" w:rsidRDefault="00DB5920" w:rsidP="00DB5920">
      <w:pPr>
        <w:pStyle w:val="Bezmezer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2800163691/2010</w:t>
      </w:r>
    </w:p>
    <w:p w:rsidR="00E66A89" w:rsidRPr="005C68D4" w:rsidRDefault="00E66A89" w:rsidP="00E66A89">
      <w:pPr>
        <w:spacing w:after="120"/>
        <w:jc w:val="both"/>
        <w:rPr>
          <w:rFonts w:ascii="Arial" w:hAnsi="Arial" w:cs="Arial"/>
        </w:rPr>
      </w:pPr>
    </w:p>
    <w:p w:rsidR="00E66A89" w:rsidRPr="005C68D4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uzavírají níže uvedeného dne, měsíce a roku</w:t>
      </w:r>
    </w:p>
    <w:p w:rsidR="00E66A89" w:rsidRPr="00C70CD2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70CD2">
        <w:rPr>
          <w:rFonts w:ascii="Arial" w:hAnsi="Arial" w:cs="Arial"/>
          <w:b/>
          <w:bCs/>
        </w:rPr>
        <w:t>tuto</w:t>
      </w:r>
      <w:r w:rsidR="00717777" w:rsidRPr="00C70CD2">
        <w:rPr>
          <w:rFonts w:ascii="Arial" w:hAnsi="Arial" w:cs="Arial"/>
          <w:b/>
          <w:bCs/>
        </w:rPr>
        <w:t xml:space="preserve"> </w:t>
      </w:r>
      <w:r w:rsidRPr="00C70CD2">
        <w:rPr>
          <w:rFonts w:ascii="Arial" w:hAnsi="Arial" w:cs="Arial"/>
          <w:b/>
          <w:bCs/>
        </w:rPr>
        <w:t xml:space="preserve">smlouvu o poskytnutí </w:t>
      </w:r>
      <w:r w:rsidR="003220FB" w:rsidRPr="00C70CD2">
        <w:rPr>
          <w:rFonts w:ascii="Arial" w:hAnsi="Arial" w:cs="Arial"/>
          <w:b/>
          <w:bCs/>
        </w:rPr>
        <w:t>dotace</w:t>
      </w:r>
      <w:r w:rsidRPr="00C70CD2">
        <w:rPr>
          <w:rFonts w:ascii="Arial" w:hAnsi="Arial" w:cs="Arial"/>
          <w:b/>
          <w:bCs/>
        </w:rPr>
        <w:t>:</w:t>
      </w:r>
    </w:p>
    <w:p w:rsidR="00E66A89" w:rsidRPr="005C68D4" w:rsidRDefault="00E66A89" w:rsidP="00E66A89">
      <w:pPr>
        <w:spacing w:before="360" w:after="36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I.</w:t>
      </w:r>
    </w:p>
    <w:p w:rsidR="00E66A89" w:rsidRPr="00C70CD2" w:rsidRDefault="00E66A89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Poskytovatel se na základě této smlouvy zavazuje poskytnout příjemci </w:t>
      </w:r>
      <w:r w:rsidR="007B59A1" w:rsidRPr="00C70CD2">
        <w:rPr>
          <w:rFonts w:ascii="Arial" w:hAnsi="Arial" w:cs="Arial"/>
          <w:sz w:val="22"/>
          <w:szCs w:val="22"/>
        </w:rPr>
        <w:t>dotaci</w:t>
      </w:r>
      <w:r w:rsidRPr="00C70CD2">
        <w:rPr>
          <w:rFonts w:ascii="Arial" w:hAnsi="Arial" w:cs="Arial"/>
          <w:sz w:val="22"/>
          <w:szCs w:val="22"/>
        </w:rPr>
        <w:t xml:space="preserve"> ve výši </w:t>
      </w:r>
      <w:r w:rsidR="00DB5920">
        <w:rPr>
          <w:rFonts w:ascii="Arial" w:hAnsi="Arial" w:cs="Arial"/>
          <w:sz w:val="22"/>
          <w:szCs w:val="22"/>
        </w:rPr>
        <w:t>130</w:t>
      </w:r>
      <w:r w:rsidR="005031DC">
        <w:rPr>
          <w:rFonts w:ascii="Arial" w:hAnsi="Arial" w:cs="Arial"/>
          <w:sz w:val="22"/>
          <w:szCs w:val="22"/>
        </w:rPr>
        <w:t>.</w:t>
      </w:r>
      <w:r w:rsidR="000417CB">
        <w:rPr>
          <w:rFonts w:ascii="Arial" w:hAnsi="Arial" w:cs="Arial"/>
          <w:sz w:val="22"/>
          <w:szCs w:val="22"/>
        </w:rPr>
        <w:t>000.00 Kč</w:t>
      </w:r>
      <w:r w:rsidRPr="00C70C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CD2">
        <w:rPr>
          <w:rFonts w:ascii="Arial" w:hAnsi="Arial" w:cs="Arial"/>
          <w:sz w:val="22"/>
          <w:szCs w:val="22"/>
        </w:rPr>
        <w:t>slovy:</w:t>
      </w:r>
      <w:r w:rsidR="00DB5920">
        <w:rPr>
          <w:rFonts w:ascii="Arial" w:hAnsi="Arial" w:cs="Arial"/>
          <w:sz w:val="22"/>
          <w:szCs w:val="22"/>
        </w:rPr>
        <w:t>Jednostotřicet</w:t>
      </w:r>
      <w:r w:rsidR="005031DC">
        <w:rPr>
          <w:rFonts w:ascii="Arial" w:hAnsi="Arial" w:cs="Arial"/>
          <w:sz w:val="22"/>
          <w:szCs w:val="22"/>
        </w:rPr>
        <w:t>t</w:t>
      </w:r>
      <w:r w:rsidR="004012CA">
        <w:rPr>
          <w:rFonts w:ascii="Arial" w:hAnsi="Arial" w:cs="Arial"/>
          <w:sz w:val="22"/>
          <w:szCs w:val="22"/>
        </w:rPr>
        <w:t>isíc</w:t>
      </w:r>
      <w:r w:rsidRPr="00C70CD2">
        <w:rPr>
          <w:rFonts w:ascii="Arial" w:hAnsi="Arial" w:cs="Arial"/>
          <w:sz w:val="22"/>
          <w:szCs w:val="22"/>
        </w:rPr>
        <w:t>korun</w:t>
      </w:r>
      <w:proofErr w:type="spellEnd"/>
      <w:r w:rsidR="00E619FA" w:rsidRPr="00C70CD2">
        <w:rPr>
          <w:rFonts w:ascii="Arial" w:hAnsi="Arial" w:cs="Arial"/>
          <w:sz w:val="22"/>
          <w:szCs w:val="22"/>
        </w:rPr>
        <w:t xml:space="preserve"> českých (dále jen </w:t>
      </w:r>
      <w:r w:rsidR="00404207" w:rsidRPr="00C70CD2">
        <w:rPr>
          <w:rFonts w:ascii="Arial" w:hAnsi="Arial" w:cs="Arial"/>
          <w:sz w:val="22"/>
          <w:szCs w:val="22"/>
        </w:rPr>
        <w:t>„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="00404207" w:rsidRPr="00C70CD2">
        <w:rPr>
          <w:rFonts w:ascii="Arial" w:hAnsi="Arial" w:cs="Arial"/>
          <w:sz w:val="22"/>
          <w:szCs w:val="22"/>
        </w:rPr>
        <w:t>“</w:t>
      </w:r>
      <w:r w:rsidR="00E619FA" w:rsidRPr="00C70CD2">
        <w:rPr>
          <w:rFonts w:ascii="Arial" w:hAnsi="Arial" w:cs="Arial"/>
          <w:sz w:val="22"/>
          <w:szCs w:val="22"/>
        </w:rPr>
        <w:t>).</w:t>
      </w:r>
    </w:p>
    <w:p w:rsidR="005F587F" w:rsidRPr="00C70CD2" w:rsidRDefault="00E66A89" w:rsidP="005F587F">
      <w:pPr>
        <w:numPr>
          <w:ilvl w:val="0"/>
          <w:numId w:val="1"/>
        </w:numPr>
        <w:spacing w:after="120"/>
        <w:jc w:val="both"/>
        <w:rPr>
          <w:i/>
          <w:iCs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Účelem poskytnutí 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Pr="00C70C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0CD2">
        <w:rPr>
          <w:rFonts w:ascii="Arial" w:hAnsi="Arial" w:cs="Arial"/>
          <w:sz w:val="22"/>
          <w:szCs w:val="22"/>
        </w:rPr>
        <w:t xml:space="preserve">je </w:t>
      </w:r>
      <w:r w:rsidR="000417CB">
        <w:rPr>
          <w:rFonts w:ascii="Arial" w:hAnsi="Arial" w:cs="Arial"/>
          <w:sz w:val="22"/>
          <w:szCs w:val="22"/>
        </w:rPr>
        <w:t xml:space="preserve"> činnost</w:t>
      </w:r>
      <w:proofErr w:type="gramEnd"/>
      <w:r w:rsidR="004012CA">
        <w:rPr>
          <w:rFonts w:ascii="Arial" w:hAnsi="Arial" w:cs="Arial"/>
          <w:sz w:val="22"/>
          <w:szCs w:val="22"/>
        </w:rPr>
        <w:t xml:space="preserve"> </w:t>
      </w:r>
      <w:r w:rsidR="005031DC">
        <w:rPr>
          <w:rFonts w:ascii="Arial" w:hAnsi="Arial" w:cs="Arial"/>
          <w:sz w:val="22"/>
          <w:szCs w:val="22"/>
        </w:rPr>
        <w:t>sdružení</w:t>
      </w:r>
      <w:r w:rsidR="000417CB">
        <w:rPr>
          <w:rFonts w:ascii="Arial" w:hAnsi="Arial" w:cs="Arial"/>
          <w:sz w:val="22"/>
          <w:szCs w:val="22"/>
        </w:rPr>
        <w:t xml:space="preserve"> v roce 201</w:t>
      </w:r>
      <w:r w:rsidR="00244F21">
        <w:rPr>
          <w:rFonts w:ascii="Arial" w:hAnsi="Arial" w:cs="Arial"/>
          <w:sz w:val="22"/>
          <w:szCs w:val="22"/>
        </w:rPr>
        <w:t>9</w:t>
      </w:r>
      <w:r w:rsidR="000417CB">
        <w:rPr>
          <w:rFonts w:ascii="Arial" w:hAnsi="Arial" w:cs="Arial"/>
          <w:sz w:val="22"/>
          <w:szCs w:val="22"/>
        </w:rPr>
        <w:t>.</w:t>
      </w:r>
    </w:p>
    <w:p w:rsidR="00E66A89" w:rsidRPr="00C70CD2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Dotace</w:t>
      </w:r>
      <w:r w:rsidR="00E66A89" w:rsidRPr="00C70CD2">
        <w:rPr>
          <w:rFonts w:ascii="Arial" w:hAnsi="Arial" w:cs="Arial"/>
          <w:sz w:val="22"/>
          <w:szCs w:val="22"/>
        </w:rPr>
        <w:t xml:space="preserve"> bude poskytnut</w:t>
      </w:r>
      <w:r w:rsidRPr="00C70CD2">
        <w:rPr>
          <w:rFonts w:ascii="Arial" w:hAnsi="Arial" w:cs="Arial"/>
          <w:sz w:val="22"/>
          <w:szCs w:val="22"/>
        </w:rPr>
        <w:t>a</w:t>
      </w:r>
      <w:r w:rsidR="00E66A89" w:rsidRPr="00C70CD2">
        <w:rPr>
          <w:rFonts w:ascii="Arial" w:hAnsi="Arial" w:cs="Arial"/>
          <w:sz w:val="22"/>
          <w:szCs w:val="22"/>
        </w:rPr>
        <w:t xml:space="preserve"> </w:t>
      </w:r>
      <w:r w:rsidR="00DB5920">
        <w:rPr>
          <w:rFonts w:ascii="Arial" w:hAnsi="Arial" w:cs="Arial"/>
          <w:sz w:val="22"/>
          <w:szCs w:val="22"/>
        </w:rPr>
        <w:t>na účet spolku uvedený v záhlaví smlouvy</w:t>
      </w:r>
      <w:r w:rsidR="00244F21">
        <w:rPr>
          <w:rFonts w:ascii="Arial" w:hAnsi="Arial" w:cs="Arial"/>
          <w:sz w:val="22"/>
          <w:szCs w:val="22"/>
        </w:rPr>
        <w:t xml:space="preserve"> </w:t>
      </w:r>
      <w:r w:rsidR="00DB5920">
        <w:rPr>
          <w:rFonts w:ascii="Arial" w:hAnsi="Arial" w:cs="Arial"/>
          <w:sz w:val="22"/>
          <w:szCs w:val="22"/>
        </w:rPr>
        <w:t xml:space="preserve">z účtu </w:t>
      </w:r>
      <w:r w:rsidR="00244F21">
        <w:rPr>
          <w:rFonts w:ascii="Arial" w:hAnsi="Arial" w:cs="Arial"/>
          <w:sz w:val="22"/>
          <w:szCs w:val="22"/>
        </w:rPr>
        <w:t>obce</w:t>
      </w:r>
      <w:r w:rsidR="00E66A89" w:rsidRPr="00C70CD2">
        <w:rPr>
          <w:rFonts w:ascii="Arial" w:hAnsi="Arial" w:cs="Arial"/>
          <w:sz w:val="22"/>
          <w:szCs w:val="22"/>
        </w:rPr>
        <w:t xml:space="preserve"> do </w:t>
      </w:r>
      <w:r w:rsidR="000417CB">
        <w:rPr>
          <w:rFonts w:ascii="Arial" w:hAnsi="Arial" w:cs="Arial"/>
          <w:sz w:val="22"/>
          <w:szCs w:val="22"/>
        </w:rPr>
        <w:t xml:space="preserve">30 </w:t>
      </w:r>
      <w:r w:rsidR="00E66A89" w:rsidRPr="00C70CD2">
        <w:rPr>
          <w:rFonts w:ascii="Arial" w:hAnsi="Arial" w:cs="Arial"/>
          <w:sz w:val="22"/>
          <w:szCs w:val="22"/>
        </w:rPr>
        <w:t>dnů ode dne uzavření této smlouvy</w:t>
      </w:r>
      <w:r w:rsidR="00842AB9">
        <w:rPr>
          <w:rFonts w:ascii="Arial" w:hAnsi="Arial" w:cs="Arial"/>
          <w:sz w:val="22"/>
          <w:szCs w:val="22"/>
        </w:rPr>
        <w:t>.</w:t>
      </w:r>
      <w:r w:rsidR="00E66A89" w:rsidRPr="00C70CD2">
        <w:rPr>
          <w:rFonts w:ascii="Arial" w:hAnsi="Arial" w:cs="Arial"/>
          <w:sz w:val="22"/>
          <w:szCs w:val="22"/>
        </w:rPr>
        <w:t xml:space="preserve"> </w:t>
      </w:r>
    </w:p>
    <w:p w:rsidR="00E66A89" w:rsidRPr="00842AB9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 xml:space="preserve"> se poskytuje na účel stanovený v čl. I. odst. 2 této smlouvy jako </w:t>
      </w: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 xml:space="preserve"> neinvestiční.</w:t>
      </w:r>
      <w:r w:rsidR="00842AB9">
        <w:rPr>
          <w:rFonts w:ascii="Arial" w:hAnsi="Arial" w:cs="Arial"/>
          <w:sz w:val="22"/>
          <w:szCs w:val="22"/>
        </w:rPr>
        <w:t xml:space="preserve"> </w:t>
      </w:r>
      <w:r w:rsidR="00E66A89" w:rsidRPr="00842AB9">
        <w:rPr>
          <w:rFonts w:ascii="Arial" w:hAnsi="Arial" w:cs="Arial"/>
          <w:sz w:val="22"/>
          <w:szCs w:val="22"/>
        </w:rPr>
        <w:t xml:space="preserve">Pro účely této smlouvy se neinvestiční </w:t>
      </w:r>
      <w:r w:rsidRPr="00842AB9">
        <w:rPr>
          <w:rFonts w:ascii="Arial" w:hAnsi="Arial" w:cs="Arial"/>
          <w:sz w:val="22"/>
          <w:szCs w:val="22"/>
        </w:rPr>
        <w:t>dotací</w:t>
      </w:r>
      <w:r w:rsidR="00E66A89" w:rsidRPr="00842AB9">
        <w:rPr>
          <w:rFonts w:ascii="Arial" w:hAnsi="Arial" w:cs="Arial"/>
          <w:sz w:val="22"/>
          <w:szCs w:val="22"/>
        </w:rPr>
        <w:t xml:space="preserve"> rozumí </w:t>
      </w: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>, kter</w:t>
      </w:r>
      <w:r w:rsidRPr="00842AB9">
        <w:rPr>
          <w:rFonts w:ascii="Arial" w:hAnsi="Arial" w:cs="Arial"/>
          <w:sz w:val="22"/>
          <w:szCs w:val="22"/>
        </w:rPr>
        <w:t>á</w:t>
      </w:r>
      <w:r w:rsidR="00E66A89" w:rsidRPr="00842AB9">
        <w:rPr>
          <w:rFonts w:ascii="Arial" w:hAnsi="Arial" w:cs="Arial"/>
          <w:sz w:val="22"/>
          <w:szCs w:val="22"/>
        </w:rPr>
        <w:t xml:space="preserve"> musí být použ</w:t>
      </w:r>
      <w:r w:rsidR="00E619FA" w:rsidRPr="00842AB9">
        <w:rPr>
          <w:rFonts w:ascii="Arial" w:hAnsi="Arial" w:cs="Arial"/>
          <w:sz w:val="22"/>
          <w:szCs w:val="22"/>
        </w:rPr>
        <w:t>it</w:t>
      </w:r>
      <w:r w:rsidRPr="00842AB9">
        <w:rPr>
          <w:rFonts w:ascii="Arial" w:hAnsi="Arial" w:cs="Arial"/>
          <w:sz w:val="22"/>
          <w:szCs w:val="22"/>
        </w:rPr>
        <w:t>a</w:t>
      </w:r>
      <w:r w:rsidR="00E619FA" w:rsidRPr="00842AB9">
        <w:rPr>
          <w:rFonts w:ascii="Arial" w:hAnsi="Arial" w:cs="Arial"/>
          <w:sz w:val="22"/>
          <w:szCs w:val="22"/>
        </w:rPr>
        <w:t xml:space="preserve"> na úhradu jiných výdajů než: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“),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nehmotného majetku dle § 32a odst. 1 a 2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technickým zhodnocením, rekonstrukcí a modernizací ve smyslu § 33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.</w:t>
      </w:r>
    </w:p>
    <w:p w:rsidR="00E66A89" w:rsidRPr="005C68D4" w:rsidRDefault="00E66A89" w:rsidP="00E66A89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lastRenderedPageBreak/>
        <w:t>II.</w:t>
      </w:r>
    </w:p>
    <w:p w:rsidR="00842AB9" w:rsidRPr="00842AB9" w:rsidRDefault="00E66A89" w:rsidP="00B72A7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i/>
          <w:iCs/>
        </w:rPr>
      </w:pPr>
      <w:r w:rsidRPr="00842AB9">
        <w:rPr>
          <w:rFonts w:ascii="Arial" w:hAnsi="Arial" w:cs="Arial"/>
          <w:sz w:val="22"/>
          <w:szCs w:val="22"/>
        </w:rPr>
        <w:t xml:space="preserve">Příjemce </w:t>
      </w:r>
      <w:r w:rsidR="007B59A1" w:rsidRPr="00842AB9">
        <w:rPr>
          <w:rFonts w:ascii="Arial" w:hAnsi="Arial" w:cs="Arial"/>
          <w:sz w:val="22"/>
          <w:szCs w:val="22"/>
        </w:rPr>
        <w:t>dotaci</w:t>
      </w:r>
      <w:r w:rsidRPr="00842AB9">
        <w:rPr>
          <w:rFonts w:ascii="Arial" w:hAnsi="Arial" w:cs="Arial"/>
          <w:sz w:val="22"/>
          <w:szCs w:val="22"/>
        </w:rPr>
        <w:t xml:space="preserve"> přijímá a zavazuje se </w:t>
      </w:r>
      <w:r w:rsidR="007B59A1" w:rsidRPr="00842AB9">
        <w:rPr>
          <w:rFonts w:ascii="Arial" w:hAnsi="Arial" w:cs="Arial"/>
          <w:sz w:val="22"/>
          <w:szCs w:val="22"/>
        </w:rPr>
        <w:t>ji</w:t>
      </w:r>
      <w:r w:rsidRPr="00842AB9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7B59A1" w:rsidRPr="00842AB9">
        <w:rPr>
          <w:rFonts w:ascii="Arial" w:hAnsi="Arial" w:cs="Arial"/>
          <w:sz w:val="22"/>
          <w:szCs w:val="22"/>
        </w:rPr>
        <w:t>dotace</w:t>
      </w:r>
      <w:r w:rsidRPr="00842AB9">
        <w:rPr>
          <w:rFonts w:ascii="Arial" w:hAnsi="Arial" w:cs="Arial"/>
          <w:sz w:val="22"/>
          <w:szCs w:val="22"/>
        </w:rPr>
        <w:t xml:space="preserve"> dle čl. I. odst. 2 a 4 této smlouvy, v souladu s podmínkami stanovenými v této smlouvě a v souladu s </w:t>
      </w:r>
      <w:r w:rsidR="00842AB9" w:rsidRPr="00842AB9">
        <w:rPr>
          <w:rFonts w:ascii="Arial" w:hAnsi="Arial" w:cs="Arial"/>
          <w:sz w:val="22"/>
          <w:szCs w:val="22"/>
        </w:rPr>
        <w:t xml:space="preserve">„ Pravidly pro poskytování dotací a návratných finančních výpomocí z rozpočtu </w:t>
      </w:r>
      <w:r w:rsidR="009B37C6">
        <w:rPr>
          <w:rFonts w:ascii="Arial" w:hAnsi="Arial" w:cs="Arial"/>
          <w:sz w:val="22"/>
          <w:szCs w:val="22"/>
        </w:rPr>
        <w:t>obce</w:t>
      </w:r>
      <w:r w:rsidR="00842AB9" w:rsidRPr="00842AB9">
        <w:rPr>
          <w:rFonts w:ascii="Arial" w:hAnsi="Arial" w:cs="Arial"/>
          <w:sz w:val="22"/>
          <w:szCs w:val="22"/>
        </w:rPr>
        <w:t xml:space="preserve"> schválenými Zastupitelstvem </w:t>
      </w:r>
      <w:r w:rsidR="00D26118">
        <w:rPr>
          <w:rFonts w:ascii="Arial" w:hAnsi="Arial" w:cs="Arial"/>
          <w:sz w:val="22"/>
          <w:szCs w:val="22"/>
        </w:rPr>
        <w:t>obce</w:t>
      </w:r>
      <w:r w:rsidR="00842AB9" w:rsidRPr="00842AB9">
        <w:rPr>
          <w:rFonts w:ascii="Arial" w:hAnsi="Arial" w:cs="Arial"/>
          <w:sz w:val="22"/>
          <w:szCs w:val="22"/>
        </w:rPr>
        <w:t xml:space="preserve"> usnesením č.</w:t>
      </w:r>
      <w:r w:rsidR="00D26118">
        <w:rPr>
          <w:rFonts w:ascii="Arial" w:hAnsi="Arial" w:cs="Arial"/>
          <w:sz w:val="22"/>
          <w:szCs w:val="22"/>
        </w:rPr>
        <w:t xml:space="preserve">257/16 z 12. veřejného </w:t>
      </w:r>
      <w:proofErr w:type="gramStart"/>
      <w:r w:rsidR="00D26118">
        <w:rPr>
          <w:rFonts w:ascii="Arial" w:hAnsi="Arial" w:cs="Arial"/>
          <w:sz w:val="22"/>
          <w:szCs w:val="22"/>
        </w:rPr>
        <w:t>zasedání</w:t>
      </w:r>
      <w:r w:rsidR="00842AB9" w:rsidRPr="00842AB9">
        <w:rPr>
          <w:rFonts w:ascii="Arial" w:hAnsi="Arial" w:cs="Arial"/>
          <w:sz w:val="22"/>
          <w:szCs w:val="22"/>
        </w:rPr>
        <w:t xml:space="preserve"> </w:t>
      </w:r>
      <w:r w:rsidR="009B37C6">
        <w:rPr>
          <w:rFonts w:ascii="Arial" w:hAnsi="Arial" w:cs="Arial"/>
          <w:sz w:val="22"/>
          <w:szCs w:val="22"/>
        </w:rPr>
        <w:t xml:space="preserve"> </w:t>
      </w:r>
      <w:r w:rsidR="00842AB9" w:rsidRPr="00842AB9">
        <w:rPr>
          <w:rFonts w:ascii="Arial" w:hAnsi="Arial" w:cs="Arial"/>
          <w:sz w:val="22"/>
          <w:szCs w:val="22"/>
        </w:rPr>
        <w:t>dne</w:t>
      </w:r>
      <w:proofErr w:type="gramEnd"/>
      <w:r w:rsidR="00D26118">
        <w:rPr>
          <w:rFonts w:ascii="Arial" w:hAnsi="Arial" w:cs="Arial"/>
          <w:sz w:val="22"/>
          <w:szCs w:val="22"/>
        </w:rPr>
        <w:t xml:space="preserve"> 7</w:t>
      </w:r>
      <w:r w:rsidR="009B37C6">
        <w:rPr>
          <w:rFonts w:ascii="Arial" w:hAnsi="Arial" w:cs="Arial"/>
          <w:sz w:val="22"/>
          <w:szCs w:val="22"/>
        </w:rPr>
        <w:t>. 12. 201</w:t>
      </w:r>
      <w:r w:rsidR="00D26118">
        <w:rPr>
          <w:rFonts w:ascii="Arial" w:hAnsi="Arial" w:cs="Arial"/>
          <w:sz w:val="22"/>
          <w:szCs w:val="22"/>
        </w:rPr>
        <w:t>6</w:t>
      </w:r>
      <w:r w:rsidR="009B37C6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Žadatel nesmí mít ke dni podání žádosti o dotaci neuhrazeny splatné závazky vůči </w:t>
      </w:r>
      <w:r w:rsidR="009B37C6">
        <w:rPr>
          <w:rFonts w:ascii="Arial" w:hAnsi="Arial" w:cs="Arial"/>
          <w:sz w:val="22"/>
          <w:szCs w:val="22"/>
        </w:rPr>
        <w:t>obci</w:t>
      </w:r>
      <w:r w:rsidR="00F80CEB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 Dotace musí být použita hospodárně. </w:t>
      </w:r>
    </w:p>
    <w:p w:rsid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</w:t>
      </w:r>
      <w:proofErr w:type="gramStart"/>
      <w:r w:rsidRPr="00525D4B">
        <w:rPr>
          <w:rFonts w:ascii="Arial" w:hAnsi="Arial" w:cs="Arial"/>
          <w:sz w:val="22"/>
          <w:szCs w:val="22"/>
        </w:rPr>
        <w:t>daně  na</w:t>
      </w:r>
      <w:proofErr w:type="gramEnd"/>
      <w:r w:rsidRPr="00525D4B">
        <w:rPr>
          <w:rFonts w:ascii="Arial" w:hAnsi="Arial" w:cs="Arial"/>
          <w:sz w:val="22"/>
          <w:szCs w:val="22"/>
        </w:rPr>
        <w:t xml:space="preserve"> základě daňového přiznání k DPH. Příjemce – neplátce DPH uvádí na veškerých vyúčtovacích dokladech finanční částky včetně DPH. </w:t>
      </w:r>
    </w:p>
    <w:p w:rsidR="006B4B62" w:rsidRP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Nevrátí-li příjemce takovou část dotace v této lhůtě, dopustí se porušení rozpočtové kázně ve smyslu </w:t>
      </w:r>
      <w:proofErr w:type="spellStart"/>
      <w:r w:rsidRPr="00525D4B">
        <w:rPr>
          <w:rFonts w:ascii="Arial" w:hAnsi="Arial" w:cs="Arial"/>
          <w:sz w:val="22"/>
          <w:szCs w:val="22"/>
        </w:rPr>
        <w:t>ust</w:t>
      </w:r>
      <w:proofErr w:type="spellEnd"/>
      <w:r w:rsidRPr="00525D4B">
        <w:rPr>
          <w:rFonts w:ascii="Arial" w:hAnsi="Arial" w:cs="Arial"/>
          <w:sz w:val="22"/>
          <w:szCs w:val="22"/>
        </w:rPr>
        <w:t xml:space="preserve">. § 22 zákona č. 250/2000 Sb., o rozpočtových pravidlech územních rozpočtů, ve znění pozdějších předpisů. 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</w:t>
      </w:r>
      <w:proofErr w:type="gramStart"/>
      <w:r w:rsidRPr="006B4B62">
        <w:rPr>
          <w:rFonts w:ascii="Arial" w:hAnsi="Arial" w:cs="Arial"/>
          <w:sz w:val="22"/>
          <w:szCs w:val="22"/>
        </w:rPr>
        <w:t>příspěvků a  odpisy</w:t>
      </w:r>
      <w:proofErr w:type="gramEnd"/>
      <w:r w:rsidRPr="006B4B62">
        <w:rPr>
          <w:rFonts w:ascii="Arial" w:hAnsi="Arial" w:cs="Arial"/>
          <w:sz w:val="22"/>
          <w:szCs w:val="22"/>
        </w:rPr>
        <w:t xml:space="preserve">  hmotného a nehmotného majetku. Dotaci nelze rovněž použít na úhradu ostatních daní.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je povinen </w:t>
      </w:r>
      <w:r w:rsidR="00BC4D67">
        <w:rPr>
          <w:rFonts w:ascii="Arial" w:hAnsi="Arial" w:cs="Arial"/>
          <w:sz w:val="22"/>
          <w:szCs w:val="22"/>
        </w:rPr>
        <w:t xml:space="preserve">dotaci na účetních dokladech označit nebo je </w:t>
      </w:r>
      <w:proofErr w:type="spellStart"/>
      <w:r w:rsidR="00BC4D67">
        <w:rPr>
          <w:rFonts w:ascii="Arial" w:hAnsi="Arial" w:cs="Arial"/>
          <w:sz w:val="22"/>
          <w:szCs w:val="22"/>
        </w:rPr>
        <w:t>li</w:t>
      </w:r>
      <w:proofErr w:type="spellEnd"/>
      <w:r w:rsidR="00BC4D67">
        <w:rPr>
          <w:rFonts w:ascii="Arial" w:hAnsi="Arial" w:cs="Arial"/>
          <w:sz w:val="22"/>
          <w:szCs w:val="22"/>
        </w:rPr>
        <w:t xml:space="preserve"> to umožněno účetním programem </w:t>
      </w:r>
      <w:r w:rsidRPr="006B4B62">
        <w:rPr>
          <w:rFonts w:ascii="Arial" w:hAnsi="Arial" w:cs="Arial"/>
          <w:sz w:val="22"/>
          <w:szCs w:val="22"/>
        </w:rPr>
        <w:t xml:space="preserve">vést dotaci ve svém účetnictví odděleně. Příjemce je povinen použít poskytnutou dotaci nejpozději do </w:t>
      </w:r>
      <w:r w:rsidR="009B37C6">
        <w:rPr>
          <w:rFonts w:ascii="Arial" w:hAnsi="Arial" w:cs="Arial"/>
          <w:sz w:val="22"/>
          <w:szCs w:val="22"/>
        </w:rPr>
        <w:t xml:space="preserve">30. </w:t>
      </w:r>
      <w:proofErr w:type="gramStart"/>
      <w:r w:rsidR="009B37C6">
        <w:rPr>
          <w:rFonts w:ascii="Arial" w:hAnsi="Arial" w:cs="Arial"/>
          <w:sz w:val="22"/>
          <w:szCs w:val="22"/>
        </w:rPr>
        <w:t>1</w:t>
      </w:r>
      <w:r w:rsidR="00BC4D67">
        <w:rPr>
          <w:rFonts w:ascii="Arial" w:hAnsi="Arial" w:cs="Arial"/>
          <w:sz w:val="22"/>
          <w:szCs w:val="22"/>
        </w:rPr>
        <w:t>2</w:t>
      </w:r>
      <w:r w:rsidR="009B37C6">
        <w:rPr>
          <w:rFonts w:ascii="Arial" w:hAnsi="Arial" w:cs="Arial"/>
          <w:sz w:val="22"/>
          <w:szCs w:val="22"/>
        </w:rPr>
        <w:t>.  roku</w:t>
      </w:r>
      <w:proofErr w:type="gramEnd"/>
      <w:r w:rsidR="009B37C6">
        <w:rPr>
          <w:rFonts w:ascii="Arial" w:hAnsi="Arial" w:cs="Arial"/>
          <w:sz w:val="22"/>
          <w:szCs w:val="22"/>
        </w:rPr>
        <w:t>.</w:t>
      </w:r>
      <w:r w:rsidRPr="006B4B62">
        <w:rPr>
          <w:rFonts w:ascii="Arial" w:hAnsi="Arial" w:cs="Arial"/>
          <w:sz w:val="22"/>
          <w:szCs w:val="22"/>
        </w:rPr>
        <w:t xml:space="preserve"> </w:t>
      </w:r>
    </w:p>
    <w:p w:rsidR="004D46EC" w:rsidRPr="00C70CD2" w:rsidRDefault="004D46EC" w:rsidP="004D46E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Příjemce je povinen umožnit poskytovateli provedení kontroly dodržení účelu</w:t>
      </w:r>
      <w:r w:rsidR="004B3E31" w:rsidRPr="00C70CD2">
        <w:rPr>
          <w:rFonts w:ascii="Arial" w:hAnsi="Arial" w:cs="Arial"/>
          <w:sz w:val="22"/>
          <w:szCs w:val="22"/>
        </w:rPr>
        <w:t xml:space="preserve"> a podmínek použití poskytnuté dotace</w:t>
      </w:r>
      <w:r w:rsidRPr="00C70CD2">
        <w:rPr>
          <w:rFonts w:ascii="Arial" w:hAnsi="Arial" w:cs="Arial"/>
          <w:sz w:val="22"/>
          <w:szCs w:val="22"/>
        </w:rPr>
        <w:t xml:space="preserve">. Při této kontrole je příjemce povinen vyvíjet veškerou poskytovatelem požadovanou součinnost.  </w:t>
      </w:r>
    </w:p>
    <w:p w:rsid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 xml:space="preserve">Příjemce je povinen nejpozději do </w:t>
      </w:r>
      <w:r w:rsidR="00BC4D67">
        <w:rPr>
          <w:rFonts w:ascii="Arial" w:hAnsi="Arial" w:cs="Arial"/>
          <w:sz w:val="22"/>
          <w:szCs w:val="22"/>
        </w:rPr>
        <w:t>30</w:t>
      </w:r>
      <w:r w:rsidR="009B37C6">
        <w:rPr>
          <w:rFonts w:ascii="Arial" w:hAnsi="Arial" w:cs="Arial"/>
          <w:sz w:val="22"/>
          <w:szCs w:val="22"/>
        </w:rPr>
        <w:t>. 12. roku</w:t>
      </w:r>
      <w:r w:rsidRPr="009C5199">
        <w:rPr>
          <w:rFonts w:ascii="Arial" w:hAnsi="Arial" w:cs="Arial"/>
          <w:sz w:val="22"/>
          <w:szCs w:val="22"/>
        </w:rPr>
        <w:t xml:space="preserve"> předložit poskytovatel</w:t>
      </w:r>
      <w:r w:rsidR="004B3E31" w:rsidRPr="009C5199">
        <w:rPr>
          <w:rFonts w:ascii="Arial" w:hAnsi="Arial" w:cs="Arial"/>
          <w:sz w:val="22"/>
          <w:szCs w:val="22"/>
        </w:rPr>
        <w:t>i vyúčtování poskytnuté</w:t>
      </w:r>
      <w:r w:rsidRPr="009C5199">
        <w:rPr>
          <w:rFonts w:ascii="Arial" w:hAnsi="Arial" w:cs="Arial"/>
          <w:sz w:val="22"/>
          <w:szCs w:val="22"/>
        </w:rPr>
        <w:t xml:space="preserve"> </w:t>
      </w:r>
      <w:r w:rsidR="004B3E31" w:rsidRPr="009C5199">
        <w:rPr>
          <w:rFonts w:ascii="Arial" w:hAnsi="Arial" w:cs="Arial"/>
          <w:sz w:val="22"/>
          <w:szCs w:val="22"/>
        </w:rPr>
        <w:t>dotace</w:t>
      </w:r>
      <w:r w:rsidRPr="009C5199">
        <w:rPr>
          <w:rFonts w:ascii="Arial" w:hAnsi="Arial" w:cs="Arial"/>
          <w:sz w:val="22"/>
          <w:szCs w:val="22"/>
        </w:rPr>
        <w:t xml:space="preserve"> (dále jen „vyúčtování“).</w:t>
      </w:r>
      <w:r w:rsidR="001B689F" w:rsidRPr="009C5199">
        <w:rPr>
          <w:rFonts w:ascii="Arial" w:hAnsi="Arial" w:cs="Arial"/>
          <w:sz w:val="22"/>
          <w:szCs w:val="22"/>
        </w:rPr>
        <w:t xml:space="preserve"> </w:t>
      </w:r>
    </w:p>
    <w:p w:rsidR="004D46EC" w:rsidRP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>Vyúčtování musí obsahovat:</w:t>
      </w:r>
    </w:p>
    <w:p w:rsidR="004D46EC" w:rsidRPr="00864DB7" w:rsidRDefault="004D46EC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t xml:space="preserve">soupis </w:t>
      </w:r>
      <w:r w:rsidR="004B3E31" w:rsidRPr="004117D5">
        <w:rPr>
          <w:rFonts w:ascii="Arial" w:hAnsi="Arial" w:cs="Arial"/>
          <w:sz w:val="22"/>
          <w:szCs w:val="22"/>
        </w:rPr>
        <w:t xml:space="preserve">výdajů hrazených z poskytnuté dotace </w:t>
      </w:r>
      <w:r w:rsidRPr="004117D5">
        <w:rPr>
          <w:rFonts w:ascii="Arial" w:hAnsi="Arial" w:cs="Arial"/>
          <w:sz w:val="22"/>
          <w:szCs w:val="22"/>
        </w:rPr>
        <w:t>na akci, na jejíž realizaci byl</w:t>
      </w:r>
      <w:r w:rsidR="004B3E31" w:rsidRPr="004117D5">
        <w:rPr>
          <w:rFonts w:ascii="Arial" w:hAnsi="Arial" w:cs="Arial"/>
          <w:sz w:val="22"/>
          <w:szCs w:val="22"/>
        </w:rPr>
        <w:t>a</w:t>
      </w:r>
      <w:r w:rsidRPr="004117D5">
        <w:rPr>
          <w:rFonts w:ascii="Arial" w:hAnsi="Arial" w:cs="Arial"/>
          <w:sz w:val="22"/>
          <w:szCs w:val="22"/>
        </w:rPr>
        <w:t xml:space="preserve"> </w:t>
      </w:r>
      <w:r w:rsidRPr="002B0337">
        <w:rPr>
          <w:rFonts w:ascii="Arial" w:hAnsi="Arial" w:cs="Arial"/>
          <w:sz w:val="22"/>
          <w:szCs w:val="22"/>
        </w:rPr>
        <w:t>poskytnut</w:t>
      </w:r>
      <w:r w:rsidR="004B3E31" w:rsidRPr="002B0337">
        <w:rPr>
          <w:rFonts w:ascii="Arial" w:hAnsi="Arial" w:cs="Arial"/>
          <w:sz w:val="22"/>
          <w:szCs w:val="22"/>
        </w:rPr>
        <w:t>a</w:t>
      </w:r>
      <w:r w:rsidRPr="002B0337">
        <w:rPr>
          <w:rFonts w:ascii="Arial" w:hAnsi="Arial" w:cs="Arial"/>
          <w:sz w:val="22"/>
          <w:szCs w:val="22"/>
        </w:rPr>
        <w:t xml:space="preserve"> </w:t>
      </w:r>
      <w:r w:rsidR="004B3E31" w:rsidRPr="002B0337">
        <w:rPr>
          <w:rFonts w:ascii="Arial" w:hAnsi="Arial" w:cs="Arial"/>
          <w:sz w:val="22"/>
          <w:szCs w:val="22"/>
        </w:rPr>
        <w:t>dotace</w:t>
      </w:r>
      <w:r w:rsidRPr="002B0337">
        <w:rPr>
          <w:rFonts w:ascii="Arial" w:hAnsi="Arial" w:cs="Arial"/>
          <w:sz w:val="22"/>
          <w:szCs w:val="22"/>
        </w:rPr>
        <w:t xml:space="preserve"> dle této smlouvy, a to v rozsahu uvedeném v příloze č. 1 „Finanční </w:t>
      </w:r>
      <w:r w:rsidRPr="00864DB7">
        <w:rPr>
          <w:rFonts w:ascii="Arial" w:hAnsi="Arial" w:cs="Arial"/>
          <w:sz w:val="22"/>
          <w:szCs w:val="22"/>
        </w:rPr>
        <w:t>vyúčtování příspěvku“</w:t>
      </w:r>
      <w:r w:rsidR="009C5199" w:rsidRPr="00864DB7">
        <w:rPr>
          <w:rFonts w:ascii="Arial" w:hAnsi="Arial" w:cs="Arial"/>
          <w:sz w:val="22"/>
          <w:szCs w:val="22"/>
        </w:rPr>
        <w:t>. Příloha č. 1 je pro příjemce k dispozici v </w:t>
      </w:r>
      <w:proofErr w:type="gramStart"/>
      <w:r w:rsidR="009C5199" w:rsidRPr="00864DB7">
        <w:rPr>
          <w:rFonts w:ascii="Arial" w:hAnsi="Arial" w:cs="Arial"/>
          <w:sz w:val="22"/>
          <w:szCs w:val="22"/>
        </w:rPr>
        <w:t>elektronické  formě</w:t>
      </w:r>
      <w:proofErr w:type="gramEnd"/>
      <w:r w:rsidR="009C5199" w:rsidRPr="00864DB7">
        <w:rPr>
          <w:rFonts w:ascii="Arial" w:hAnsi="Arial" w:cs="Arial"/>
          <w:sz w:val="22"/>
          <w:szCs w:val="22"/>
        </w:rPr>
        <w:t xml:space="preserve"> na webu </w:t>
      </w:r>
      <w:r w:rsidR="009B37C6">
        <w:rPr>
          <w:rFonts w:ascii="Arial" w:hAnsi="Arial" w:cs="Arial"/>
          <w:sz w:val="22"/>
          <w:szCs w:val="22"/>
        </w:rPr>
        <w:t>obce</w:t>
      </w:r>
      <w:r w:rsidR="009C5199" w:rsidRPr="00864DB7">
        <w:rPr>
          <w:rFonts w:ascii="Arial" w:hAnsi="Arial" w:cs="Arial"/>
          <w:sz w:val="22"/>
          <w:szCs w:val="22"/>
        </w:rPr>
        <w:t xml:space="preserve"> </w:t>
      </w:r>
      <w:r w:rsidR="002B0337" w:rsidRPr="00864DB7">
        <w:rPr>
          <w:rFonts w:ascii="Arial" w:hAnsi="Arial" w:cs="Arial"/>
          <w:sz w:val="22"/>
          <w:szCs w:val="22"/>
        </w:rPr>
        <w:t xml:space="preserve"> http://www.</w:t>
      </w:r>
      <w:r w:rsidR="00BC4D67">
        <w:rPr>
          <w:rFonts w:ascii="Arial" w:hAnsi="Arial" w:cs="Arial"/>
          <w:sz w:val="22"/>
          <w:szCs w:val="22"/>
        </w:rPr>
        <w:t>bezmerov.cz.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faktur s podrobným rozpisem dodávky (případně dodacím listem), popřípadě jiných účetních dokladů včetně příloh, prokazujících vynaložení výdajů,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výdajových dokladů včetně příloh (stvrzenky, paragony apod.), na základě kterých je pokladní doklad vystaven</w:t>
      </w:r>
      <w:r w:rsidR="004117D5" w:rsidRPr="004117D5">
        <w:rPr>
          <w:rFonts w:ascii="Arial" w:hAnsi="Arial" w:cs="Arial"/>
          <w:sz w:val="22"/>
          <w:szCs w:val="22"/>
        </w:rPr>
        <w:t>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všech výpisů z bankovního účtu, které dokládají úhradu předložených faktur, s vyznačením dotčených plateb,</w:t>
      </w:r>
    </w:p>
    <w:p w:rsidR="004D46EC" w:rsidRDefault="004D46EC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lastRenderedPageBreak/>
        <w:t>čestn</w:t>
      </w:r>
      <w:r w:rsidR="003217E3">
        <w:rPr>
          <w:rFonts w:ascii="Arial" w:hAnsi="Arial" w:cs="Arial"/>
          <w:sz w:val="22"/>
          <w:szCs w:val="22"/>
        </w:rPr>
        <w:t xml:space="preserve">é </w:t>
      </w:r>
      <w:r w:rsidRPr="004117D5">
        <w:rPr>
          <w:rFonts w:ascii="Arial" w:hAnsi="Arial" w:cs="Arial"/>
          <w:sz w:val="22"/>
          <w:szCs w:val="22"/>
        </w:rPr>
        <w:t>prohlášení, že fotokopie předaných dokladů jsou shodné s originály a výdaje uvedené v soupisu jsou shodné se záznamy v účetnictví příjemce.</w:t>
      </w:r>
    </w:p>
    <w:p w:rsidR="007201C2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s vyúčtováním příjemce předloží poskytovateli závěrečnou zprávu. </w:t>
      </w:r>
    </w:p>
    <w:p w:rsidR="007201C2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zpráva musí obsahovat komentář k čerpání poskytnutých finančních </w:t>
      </w:r>
    </w:p>
    <w:p w:rsidR="003217E3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prostředků, popis a zhodnocení realizace.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</w:t>
      </w:r>
      <w:r w:rsidR="00D26118">
        <w:rPr>
          <w:rFonts w:ascii="Arial" w:hAnsi="Arial" w:cs="Arial"/>
          <w:sz w:val="22"/>
          <w:szCs w:val="22"/>
        </w:rPr>
        <w:t>26.000,00</w:t>
      </w:r>
      <w:r w:rsidR="00BC4D67">
        <w:rPr>
          <w:rFonts w:ascii="Arial" w:hAnsi="Arial" w:cs="Arial"/>
          <w:sz w:val="22"/>
          <w:szCs w:val="22"/>
        </w:rPr>
        <w:t xml:space="preserve"> </w:t>
      </w:r>
      <w:r w:rsidRPr="003217E3">
        <w:rPr>
          <w:rFonts w:ascii="Arial" w:hAnsi="Arial" w:cs="Arial"/>
          <w:sz w:val="22"/>
          <w:szCs w:val="22"/>
        </w:rPr>
        <w:t>Kč (</w:t>
      </w:r>
      <w:proofErr w:type="spellStart"/>
      <w:r w:rsidRPr="003217E3">
        <w:rPr>
          <w:rFonts w:ascii="Arial" w:hAnsi="Arial" w:cs="Arial"/>
          <w:sz w:val="22"/>
          <w:szCs w:val="22"/>
        </w:rPr>
        <w:t>slovy:</w:t>
      </w:r>
      <w:r w:rsidR="00D26118">
        <w:rPr>
          <w:rFonts w:ascii="Arial" w:hAnsi="Arial" w:cs="Arial"/>
          <w:sz w:val="22"/>
          <w:szCs w:val="22"/>
        </w:rPr>
        <w:t>Dvacetšest</w:t>
      </w:r>
      <w:r w:rsidR="004012CA">
        <w:rPr>
          <w:rFonts w:ascii="Arial" w:hAnsi="Arial" w:cs="Arial"/>
          <w:sz w:val="22"/>
          <w:szCs w:val="22"/>
        </w:rPr>
        <w:t>tisíc</w:t>
      </w:r>
      <w:proofErr w:type="spellEnd"/>
      <w:r w:rsidR="004012CA">
        <w:rPr>
          <w:rFonts w:ascii="Arial" w:hAnsi="Arial" w:cs="Arial"/>
          <w:sz w:val="22"/>
          <w:szCs w:val="22"/>
        </w:rPr>
        <w:t>)</w:t>
      </w:r>
      <w:r w:rsidRPr="003217E3">
        <w:rPr>
          <w:rFonts w:ascii="Arial" w:hAnsi="Arial" w:cs="Arial"/>
          <w:sz w:val="22"/>
          <w:szCs w:val="22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 rozpočtových pravidlech územních rozpočtů, ve znění pozdějších předpisů. Pokud příjemce předloží vyúčtování v termínu stanoveném v čl. II. odst. 4 této smlouvy, ale </w:t>
      </w:r>
      <w:proofErr w:type="gramStart"/>
      <w:r w:rsidRPr="003217E3">
        <w:rPr>
          <w:rFonts w:ascii="Arial" w:hAnsi="Arial" w:cs="Arial"/>
          <w:sz w:val="22"/>
          <w:szCs w:val="22"/>
        </w:rPr>
        <w:t>vyúčtování  nebude</w:t>
      </w:r>
      <w:proofErr w:type="gramEnd"/>
      <w:r w:rsidRPr="003217E3">
        <w:rPr>
          <w:rFonts w:ascii="Arial" w:hAnsi="Arial" w:cs="Arial"/>
          <w:sz w:val="22"/>
          <w:szCs w:val="22"/>
        </w:rPr>
        <w:t xml:space="preserve">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217E3" w:rsidRPr="00F80CEB" w:rsidTr="00E5003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2%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:rsidR="003217E3" w:rsidRPr="00F80CEB" w:rsidRDefault="003217E3" w:rsidP="003217E3">
      <w:pPr>
        <w:spacing w:after="120"/>
        <w:ind w:left="567"/>
        <w:jc w:val="both"/>
        <w:rPr>
          <w:rFonts w:ascii="Arial" w:hAnsi="Arial" w:cs="Arial"/>
          <w:iCs/>
        </w:rPr>
      </w:pP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lastRenderedPageBreak/>
        <w:t>V případě, že je příjemce dle této smlouvy povinen vrátit dotaci nebo její část nebo uhradit odvod nebo penále, vrátí příjemce dotaci nebo její část, resp. uhradí odvod nebo penále na účet poskytovatele č</w:t>
      </w:r>
      <w:r w:rsidR="00BC4D67">
        <w:rPr>
          <w:rFonts w:ascii="Arial" w:hAnsi="Arial" w:cs="Arial"/>
          <w:sz w:val="22"/>
          <w:szCs w:val="22"/>
        </w:rPr>
        <w:t>: 1483120369/0300.</w:t>
      </w:r>
    </w:p>
    <w:p w:rsidR="003217E3" w:rsidRPr="00FE0B67" w:rsidRDefault="003217E3" w:rsidP="003217E3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E0B67">
        <w:rPr>
          <w:rFonts w:ascii="Arial" w:hAnsi="Arial" w:cs="Arial"/>
          <w:sz w:val="22"/>
          <w:szCs w:val="22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Pr="00FE0B6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217E3" w:rsidRPr="00857C86" w:rsidRDefault="003217E3" w:rsidP="007474D8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57C86">
        <w:rPr>
          <w:rFonts w:ascii="Arial" w:hAnsi="Arial" w:cs="Arial"/>
          <w:sz w:val="22"/>
          <w:szCs w:val="22"/>
        </w:rPr>
        <w:t>Současně je příjemce povinen uvést, že poskytovatel finančně přispívá na činnost příjemce</w:t>
      </w:r>
      <w:r w:rsidRPr="00857C86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57C86">
        <w:rPr>
          <w:rFonts w:ascii="Arial" w:hAnsi="Arial" w:cs="Arial"/>
          <w:iCs/>
          <w:sz w:val="22"/>
          <w:szCs w:val="22"/>
        </w:rPr>
        <w:t xml:space="preserve">Totéž je příjemce povinen uvádět </w:t>
      </w:r>
      <w:r w:rsidRPr="00857C86">
        <w:rPr>
          <w:rFonts w:ascii="Arial" w:hAnsi="Arial" w:cs="Arial"/>
          <w:sz w:val="22"/>
          <w:szCs w:val="22"/>
        </w:rPr>
        <w:t xml:space="preserve">při kontaktu s médii, na svých případných webových stránkách a při propagaci svých aktivit. </w:t>
      </w:r>
      <w:bookmarkStart w:id="0" w:name="_GoBack"/>
      <w:bookmarkEnd w:id="0"/>
    </w:p>
    <w:p w:rsidR="00E66A89" w:rsidRPr="005C68D4" w:rsidRDefault="00E66A89" w:rsidP="00E66A89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III.</w:t>
      </w:r>
    </w:p>
    <w:p w:rsidR="00E66A89" w:rsidRPr="006B4B62" w:rsidRDefault="005C68D4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Smlouva se uzavírá v souladu s §</w:t>
      </w:r>
      <w:r w:rsidR="002F0848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:rsidR="00E66A89" w:rsidRPr="00E16FFA" w:rsidRDefault="000C5690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B4B62" w:rsidRDefault="005C68D4" w:rsidP="006B4B6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 xml:space="preserve">Poskytnutí </w:t>
      </w:r>
      <w:r w:rsidR="004B3E31" w:rsidRPr="00E16FFA">
        <w:rPr>
          <w:rFonts w:ascii="Arial" w:hAnsi="Arial" w:cs="Arial"/>
          <w:sz w:val="22"/>
          <w:szCs w:val="22"/>
        </w:rPr>
        <w:t>dotace</w:t>
      </w:r>
      <w:r w:rsidRPr="00E16FFA">
        <w:rPr>
          <w:rFonts w:ascii="Arial" w:hAnsi="Arial" w:cs="Arial"/>
          <w:sz w:val="22"/>
          <w:szCs w:val="22"/>
        </w:rPr>
        <w:t xml:space="preserve"> a uzavření této smlouvy bylo schváleno usnesením </w:t>
      </w:r>
      <w:proofErr w:type="gramStart"/>
      <w:r w:rsidRPr="00E16FFA">
        <w:rPr>
          <w:rFonts w:ascii="Arial" w:hAnsi="Arial" w:cs="Arial"/>
          <w:sz w:val="22"/>
          <w:szCs w:val="22"/>
        </w:rPr>
        <w:t xml:space="preserve">Zastupitelstva </w:t>
      </w:r>
      <w:r w:rsidR="00F622CF" w:rsidRPr="00E16FFA">
        <w:rPr>
          <w:rFonts w:ascii="Arial" w:hAnsi="Arial" w:cs="Arial"/>
          <w:sz w:val="22"/>
          <w:szCs w:val="22"/>
        </w:rPr>
        <w:t xml:space="preserve"> </w:t>
      </w:r>
      <w:r w:rsidR="00BC4D67">
        <w:rPr>
          <w:rFonts w:ascii="Arial" w:hAnsi="Arial" w:cs="Arial"/>
          <w:sz w:val="22"/>
          <w:szCs w:val="22"/>
        </w:rPr>
        <w:t>obce</w:t>
      </w:r>
      <w:proofErr w:type="gramEnd"/>
      <w:r w:rsidR="00F622CF" w:rsidRPr="00E16FFA">
        <w:rPr>
          <w:rFonts w:ascii="Arial" w:hAnsi="Arial" w:cs="Arial"/>
          <w:sz w:val="22"/>
          <w:szCs w:val="22"/>
        </w:rPr>
        <w:t xml:space="preserve"> </w:t>
      </w:r>
      <w:r w:rsidRPr="00E16FFA">
        <w:rPr>
          <w:rFonts w:ascii="Arial" w:hAnsi="Arial" w:cs="Arial"/>
          <w:sz w:val="22"/>
          <w:szCs w:val="22"/>
        </w:rPr>
        <w:t xml:space="preserve"> č </w:t>
      </w:r>
      <w:r w:rsidR="00D26118">
        <w:rPr>
          <w:rFonts w:ascii="Arial" w:hAnsi="Arial" w:cs="Arial"/>
          <w:sz w:val="22"/>
          <w:szCs w:val="22"/>
        </w:rPr>
        <w:t>257/</w:t>
      </w:r>
      <w:r w:rsidRPr="00E16FFA">
        <w:rPr>
          <w:rFonts w:ascii="Arial" w:hAnsi="Arial" w:cs="Arial"/>
          <w:sz w:val="22"/>
          <w:szCs w:val="22"/>
        </w:rPr>
        <w:t xml:space="preserve"> </w:t>
      </w:r>
      <w:r w:rsidR="00D26118">
        <w:rPr>
          <w:rFonts w:ascii="Arial" w:hAnsi="Arial" w:cs="Arial"/>
          <w:sz w:val="22"/>
          <w:szCs w:val="22"/>
        </w:rPr>
        <w:t xml:space="preserve">16 </w:t>
      </w:r>
      <w:r w:rsidRPr="00E16FFA">
        <w:rPr>
          <w:rFonts w:ascii="Arial" w:hAnsi="Arial" w:cs="Arial"/>
          <w:sz w:val="22"/>
          <w:szCs w:val="22"/>
        </w:rPr>
        <w:t xml:space="preserve">ze dne </w:t>
      </w:r>
      <w:r w:rsidR="00244F21">
        <w:rPr>
          <w:rFonts w:ascii="Arial" w:hAnsi="Arial" w:cs="Arial"/>
          <w:sz w:val="22"/>
          <w:szCs w:val="22"/>
        </w:rPr>
        <w:t>19</w:t>
      </w:r>
      <w:r w:rsidR="00BC4D67">
        <w:rPr>
          <w:rFonts w:ascii="Arial" w:hAnsi="Arial" w:cs="Arial"/>
          <w:sz w:val="22"/>
          <w:szCs w:val="22"/>
        </w:rPr>
        <w:t>. 12. 201</w:t>
      </w:r>
      <w:r w:rsidR="00244F21">
        <w:rPr>
          <w:rFonts w:ascii="Arial" w:hAnsi="Arial" w:cs="Arial"/>
          <w:sz w:val="22"/>
          <w:szCs w:val="22"/>
        </w:rPr>
        <w:t>8</w:t>
      </w:r>
      <w:r w:rsidRPr="00E16FFA">
        <w:rPr>
          <w:rFonts w:ascii="Arial" w:hAnsi="Arial" w:cs="Arial"/>
          <w:sz w:val="22"/>
          <w:szCs w:val="22"/>
        </w:rPr>
        <w:t>.</w:t>
      </w:r>
    </w:p>
    <w:p w:rsidR="009E61E5" w:rsidRDefault="00E66A89" w:rsidP="006B4B6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Tato smlouva je sepsána ve </w:t>
      </w:r>
      <w:r w:rsidR="00244F21">
        <w:rPr>
          <w:rFonts w:ascii="Arial" w:hAnsi="Arial" w:cs="Arial"/>
          <w:sz w:val="22"/>
          <w:szCs w:val="22"/>
        </w:rPr>
        <w:t>dvou</w:t>
      </w:r>
      <w:r w:rsidR="009E61E5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 xml:space="preserve">vyhotoveních, z nichž </w:t>
      </w:r>
      <w:r w:rsidR="00244F21">
        <w:rPr>
          <w:rFonts w:ascii="Arial" w:hAnsi="Arial" w:cs="Arial"/>
          <w:sz w:val="22"/>
          <w:szCs w:val="22"/>
        </w:rPr>
        <w:t>jedno</w:t>
      </w:r>
      <w:r w:rsidR="009E61E5" w:rsidRPr="006B4B62">
        <w:rPr>
          <w:rFonts w:ascii="Arial" w:hAnsi="Arial" w:cs="Arial"/>
          <w:sz w:val="22"/>
          <w:szCs w:val="22"/>
        </w:rPr>
        <w:t xml:space="preserve"> obdrží poskytovatel a jedno v</w:t>
      </w:r>
      <w:r w:rsidR="006B4B62">
        <w:rPr>
          <w:rFonts w:ascii="Arial" w:hAnsi="Arial" w:cs="Arial"/>
          <w:sz w:val="22"/>
          <w:szCs w:val="22"/>
        </w:rPr>
        <w:t>yhotovení příjemce.</w:t>
      </w:r>
    </w:p>
    <w:p w:rsidR="00857C86" w:rsidRPr="00857C86" w:rsidRDefault="00061016" w:rsidP="00BD66F7">
      <w:pPr>
        <w:pStyle w:val="Odstavecseseznamem"/>
        <w:numPr>
          <w:ilvl w:val="0"/>
          <w:numId w:val="4"/>
        </w:numPr>
        <w:spacing w:before="600" w:after="600"/>
        <w:jc w:val="both"/>
        <w:rPr>
          <w:rFonts w:ascii="Arial" w:hAnsi="Arial" w:cs="Arial"/>
        </w:rPr>
      </w:pPr>
      <w:r>
        <w:t xml:space="preserve">Příjemce </w:t>
      </w:r>
      <w:r w:rsidR="00244F21">
        <w:t xml:space="preserve">se zavazuje </w:t>
      </w:r>
      <w:r w:rsidR="00244F21" w:rsidRPr="003F4E8A">
        <w:t xml:space="preserve">pro zajištění náležitého zabezpečení osobních údajů podle čl. 5 odst. 1 písm. f) nařízení EP a Rady (EU) 2016/679 o ochraně osobních údajů zachovávat mlčenlivost </w:t>
      </w:r>
      <w:r w:rsidR="00244F21">
        <w:br/>
      </w:r>
      <w:r w:rsidR="00244F21" w:rsidRPr="003F4E8A">
        <w:t xml:space="preserve">o osobních údajích a o bezpečnostních opatřeních, o nichž se dozvěděl v souvislosti s výkonem práv a povinností vyplývajících z tohoto </w:t>
      </w:r>
      <w:proofErr w:type="gramStart"/>
      <w:r>
        <w:t xml:space="preserve">smluvního </w:t>
      </w:r>
      <w:r w:rsidR="00244F21" w:rsidRPr="003F4E8A">
        <w:t xml:space="preserve"> vztahu</w:t>
      </w:r>
      <w:proofErr w:type="gramEnd"/>
      <w:r w:rsidR="00244F21" w:rsidRPr="003F4E8A">
        <w:t xml:space="preserve"> a jejichž neoprávněné poskytnutí nebo zpřístupnění by mohlo ohrozit toto zabezpečení osobních údajů. Povinnost mlčenlivosti podle tohoto odstavce smlouvy trvá i po případném skončení </w:t>
      </w:r>
      <w:r>
        <w:t>této smlouvy.</w:t>
      </w:r>
    </w:p>
    <w:p w:rsidR="005B4136" w:rsidRPr="00857C86" w:rsidRDefault="005B4136" w:rsidP="00857C86">
      <w:pPr>
        <w:pStyle w:val="Odstavecseseznamem"/>
        <w:spacing w:before="600" w:after="600"/>
        <w:ind w:left="567"/>
        <w:jc w:val="both"/>
        <w:rPr>
          <w:rFonts w:ascii="Arial" w:hAnsi="Arial" w:cs="Arial"/>
        </w:rPr>
      </w:pPr>
      <w:r w:rsidRPr="00857C86">
        <w:rPr>
          <w:rFonts w:ascii="Arial" w:hAnsi="Arial" w:cs="Arial"/>
        </w:rPr>
        <w:t>V</w:t>
      </w:r>
      <w:r w:rsidR="009F2D5D" w:rsidRPr="00857C86">
        <w:rPr>
          <w:rFonts w:ascii="Arial" w:hAnsi="Arial" w:cs="Arial"/>
        </w:rPr>
        <w:t> </w:t>
      </w:r>
      <w:proofErr w:type="gramStart"/>
      <w:r w:rsidR="009F2D5D" w:rsidRPr="00857C86">
        <w:rPr>
          <w:rFonts w:ascii="Arial" w:hAnsi="Arial" w:cs="Arial"/>
        </w:rPr>
        <w:t xml:space="preserve">Bezměrově </w:t>
      </w:r>
      <w:r w:rsidRPr="00857C86">
        <w:rPr>
          <w:rFonts w:ascii="Arial" w:hAnsi="Arial" w:cs="Arial"/>
        </w:rPr>
        <w:t xml:space="preserve"> dne</w:t>
      </w:r>
      <w:proofErr w:type="gramEnd"/>
      <w:r w:rsidRPr="00857C86">
        <w:rPr>
          <w:rFonts w:ascii="Arial" w:hAnsi="Arial" w:cs="Arial"/>
        </w:rPr>
        <w:t xml:space="preserve"> </w:t>
      </w:r>
      <w:r w:rsidR="00244F21" w:rsidRPr="00857C86">
        <w:rPr>
          <w:rFonts w:ascii="Arial" w:hAnsi="Arial" w:cs="Arial"/>
        </w:rPr>
        <w:t>1. 2. 201</w:t>
      </w:r>
      <w:r w:rsidR="002B26C6" w:rsidRPr="00857C86">
        <w:rPr>
          <w:rFonts w:ascii="Arial" w:hAnsi="Arial" w:cs="Arial"/>
        </w:rPr>
        <w:t>9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E66A89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oskytovatel</w:t>
            </w:r>
            <w:r w:rsidRPr="009E61E5">
              <w:rPr>
                <w:rFonts w:ascii="Arial" w:hAnsi="Arial" w:cs="Arial"/>
                <w:sz w:val="22"/>
                <w:szCs w:val="22"/>
              </w:rPr>
              <w:t>e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2F08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říjemce:</w:t>
            </w:r>
          </w:p>
        </w:tc>
      </w:tr>
      <w:tr w:rsidR="00E66A89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9F2D5D" w:rsidRDefault="009F2D5D" w:rsidP="009F2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Večerka,</w:t>
            </w:r>
            <w:r w:rsidR="00F622CF" w:rsidRPr="009E61E5">
              <w:rPr>
                <w:rFonts w:ascii="Arial" w:hAnsi="Arial" w:cs="Arial"/>
                <w:sz w:val="22"/>
                <w:szCs w:val="22"/>
              </w:rPr>
              <w:t xml:space="preserve"> starosta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E66A89" w:rsidRPr="009E61E5" w:rsidRDefault="009F2D5D" w:rsidP="009F2D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4012CA" w:rsidRDefault="00857C86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Fuks</w:t>
            </w:r>
          </w:p>
          <w:p w:rsidR="009F2D5D" w:rsidRPr="009E61E5" w:rsidRDefault="009F2D5D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017" w:rsidRPr="00C03064" w:rsidRDefault="00CA4017" w:rsidP="00D26118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sectPr w:rsidR="00CA4017" w:rsidRPr="00C03064" w:rsidSect="00D5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C2" w:rsidRDefault="001874C2" w:rsidP="0045745B">
      <w:r>
        <w:separator/>
      </w:r>
    </w:p>
  </w:endnote>
  <w:endnote w:type="continuationSeparator" w:id="0">
    <w:p w:rsidR="001874C2" w:rsidRDefault="001874C2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C2" w:rsidRDefault="001874C2" w:rsidP="0045745B">
      <w:r>
        <w:separator/>
      </w:r>
    </w:p>
  </w:footnote>
  <w:footnote w:type="continuationSeparator" w:id="0">
    <w:p w:rsidR="001874C2" w:rsidRDefault="001874C2" w:rsidP="0045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922"/>
      <w:docPartObj>
        <w:docPartGallery w:val="Page Numbers (Top of Page)"/>
        <w:docPartUnique/>
      </w:docPartObj>
    </w:sdtPr>
    <w:sdtEndPr/>
    <w:sdtContent>
      <w:p w:rsidR="0045745B" w:rsidRDefault="0032159D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45B" w:rsidRDefault="004574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D"/>
    <w:rsid w:val="00010A84"/>
    <w:rsid w:val="000417CB"/>
    <w:rsid w:val="00043388"/>
    <w:rsid w:val="00053869"/>
    <w:rsid w:val="00061016"/>
    <w:rsid w:val="0007732B"/>
    <w:rsid w:val="0009674D"/>
    <w:rsid w:val="00097BC7"/>
    <w:rsid w:val="000C1995"/>
    <w:rsid w:val="000C5690"/>
    <w:rsid w:val="000D67B3"/>
    <w:rsid w:val="000D6DBE"/>
    <w:rsid w:val="000E0414"/>
    <w:rsid w:val="000E7B5A"/>
    <w:rsid w:val="000F54C2"/>
    <w:rsid w:val="00114E20"/>
    <w:rsid w:val="001324FF"/>
    <w:rsid w:val="001372A4"/>
    <w:rsid w:val="0014724B"/>
    <w:rsid w:val="00161216"/>
    <w:rsid w:val="00171168"/>
    <w:rsid w:val="00182E06"/>
    <w:rsid w:val="001874C2"/>
    <w:rsid w:val="00190AB6"/>
    <w:rsid w:val="00195B70"/>
    <w:rsid w:val="001A2126"/>
    <w:rsid w:val="001B0295"/>
    <w:rsid w:val="001B0FD4"/>
    <w:rsid w:val="001B689F"/>
    <w:rsid w:val="001D3B56"/>
    <w:rsid w:val="001D47A2"/>
    <w:rsid w:val="001F0FBD"/>
    <w:rsid w:val="001F5E3A"/>
    <w:rsid w:val="002055DD"/>
    <w:rsid w:val="00217BB6"/>
    <w:rsid w:val="00220C6E"/>
    <w:rsid w:val="002441E3"/>
    <w:rsid w:val="00244F21"/>
    <w:rsid w:val="00250B5C"/>
    <w:rsid w:val="00270E9E"/>
    <w:rsid w:val="00277A00"/>
    <w:rsid w:val="00291CDF"/>
    <w:rsid w:val="00294501"/>
    <w:rsid w:val="002A1BDC"/>
    <w:rsid w:val="002B0337"/>
    <w:rsid w:val="002B26C6"/>
    <w:rsid w:val="002B3B7E"/>
    <w:rsid w:val="002B6826"/>
    <w:rsid w:val="002B7E88"/>
    <w:rsid w:val="002D662E"/>
    <w:rsid w:val="002E1B63"/>
    <w:rsid w:val="002F0848"/>
    <w:rsid w:val="002F570B"/>
    <w:rsid w:val="002F6F95"/>
    <w:rsid w:val="00303EFE"/>
    <w:rsid w:val="00312A0A"/>
    <w:rsid w:val="00316AFA"/>
    <w:rsid w:val="00316E1A"/>
    <w:rsid w:val="0032159D"/>
    <w:rsid w:val="003217E3"/>
    <w:rsid w:val="003220FB"/>
    <w:rsid w:val="00324E6E"/>
    <w:rsid w:val="00337EFC"/>
    <w:rsid w:val="00371230"/>
    <w:rsid w:val="003769D1"/>
    <w:rsid w:val="00384E85"/>
    <w:rsid w:val="00392A2A"/>
    <w:rsid w:val="003C4023"/>
    <w:rsid w:val="003C40FF"/>
    <w:rsid w:val="003D0FAF"/>
    <w:rsid w:val="003E573B"/>
    <w:rsid w:val="004012CA"/>
    <w:rsid w:val="00401C8F"/>
    <w:rsid w:val="00402DDC"/>
    <w:rsid w:val="00404207"/>
    <w:rsid w:val="004117D5"/>
    <w:rsid w:val="00414089"/>
    <w:rsid w:val="0042113F"/>
    <w:rsid w:val="004313FD"/>
    <w:rsid w:val="004379A9"/>
    <w:rsid w:val="004426E1"/>
    <w:rsid w:val="004568D1"/>
    <w:rsid w:val="0045745B"/>
    <w:rsid w:val="0047056C"/>
    <w:rsid w:val="00475A62"/>
    <w:rsid w:val="004818B2"/>
    <w:rsid w:val="00484540"/>
    <w:rsid w:val="00487D6F"/>
    <w:rsid w:val="00494C82"/>
    <w:rsid w:val="004A4E9D"/>
    <w:rsid w:val="004B284A"/>
    <w:rsid w:val="004B3E31"/>
    <w:rsid w:val="004B6517"/>
    <w:rsid w:val="004C3989"/>
    <w:rsid w:val="004D41C5"/>
    <w:rsid w:val="004D46EC"/>
    <w:rsid w:val="004E6ADE"/>
    <w:rsid w:val="004F5AF6"/>
    <w:rsid w:val="005031DC"/>
    <w:rsid w:val="005119E0"/>
    <w:rsid w:val="00520161"/>
    <w:rsid w:val="00521EA3"/>
    <w:rsid w:val="005240F0"/>
    <w:rsid w:val="00525D4B"/>
    <w:rsid w:val="0054326E"/>
    <w:rsid w:val="00544DD4"/>
    <w:rsid w:val="005605DE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4DC6"/>
    <w:rsid w:val="00612A26"/>
    <w:rsid w:val="00632AFC"/>
    <w:rsid w:val="006401ED"/>
    <w:rsid w:val="00650411"/>
    <w:rsid w:val="00655931"/>
    <w:rsid w:val="0067443C"/>
    <w:rsid w:val="006A639C"/>
    <w:rsid w:val="006B3960"/>
    <w:rsid w:val="006B4B62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358E4"/>
    <w:rsid w:val="00740686"/>
    <w:rsid w:val="007414DC"/>
    <w:rsid w:val="00762EC8"/>
    <w:rsid w:val="00765FAE"/>
    <w:rsid w:val="007813C1"/>
    <w:rsid w:val="00793F41"/>
    <w:rsid w:val="007A1B42"/>
    <w:rsid w:val="007A2212"/>
    <w:rsid w:val="007A6AF5"/>
    <w:rsid w:val="007A6CD3"/>
    <w:rsid w:val="007B3C92"/>
    <w:rsid w:val="007B59A1"/>
    <w:rsid w:val="007C0511"/>
    <w:rsid w:val="007F1373"/>
    <w:rsid w:val="007F1E03"/>
    <w:rsid w:val="00801C6C"/>
    <w:rsid w:val="00805567"/>
    <w:rsid w:val="00811BF0"/>
    <w:rsid w:val="00814150"/>
    <w:rsid w:val="008226F1"/>
    <w:rsid w:val="00826C2A"/>
    <w:rsid w:val="00832A53"/>
    <w:rsid w:val="00842AB9"/>
    <w:rsid w:val="008547BC"/>
    <w:rsid w:val="00857C86"/>
    <w:rsid w:val="00864DB7"/>
    <w:rsid w:val="00877339"/>
    <w:rsid w:val="00890D26"/>
    <w:rsid w:val="00893D01"/>
    <w:rsid w:val="008975ED"/>
    <w:rsid w:val="008A4D58"/>
    <w:rsid w:val="008C2759"/>
    <w:rsid w:val="009018F6"/>
    <w:rsid w:val="00921CF4"/>
    <w:rsid w:val="00922E07"/>
    <w:rsid w:val="009249C6"/>
    <w:rsid w:val="00927270"/>
    <w:rsid w:val="00927398"/>
    <w:rsid w:val="00945DBB"/>
    <w:rsid w:val="0096728F"/>
    <w:rsid w:val="009A3A9F"/>
    <w:rsid w:val="009A7543"/>
    <w:rsid w:val="009B34D2"/>
    <w:rsid w:val="009B37C6"/>
    <w:rsid w:val="009C5199"/>
    <w:rsid w:val="009C7A0A"/>
    <w:rsid w:val="009D30BB"/>
    <w:rsid w:val="009D5488"/>
    <w:rsid w:val="009E4278"/>
    <w:rsid w:val="009E5818"/>
    <w:rsid w:val="009E61E5"/>
    <w:rsid w:val="009F2D5D"/>
    <w:rsid w:val="00A026A9"/>
    <w:rsid w:val="00A05167"/>
    <w:rsid w:val="00A07132"/>
    <w:rsid w:val="00A246B6"/>
    <w:rsid w:val="00A90469"/>
    <w:rsid w:val="00A93782"/>
    <w:rsid w:val="00AA21F4"/>
    <w:rsid w:val="00AC752C"/>
    <w:rsid w:val="00B04485"/>
    <w:rsid w:val="00B04A33"/>
    <w:rsid w:val="00B24339"/>
    <w:rsid w:val="00B403F7"/>
    <w:rsid w:val="00B41634"/>
    <w:rsid w:val="00B441DD"/>
    <w:rsid w:val="00B45B24"/>
    <w:rsid w:val="00B50616"/>
    <w:rsid w:val="00B5065F"/>
    <w:rsid w:val="00B56E34"/>
    <w:rsid w:val="00B62356"/>
    <w:rsid w:val="00B713EB"/>
    <w:rsid w:val="00B72A72"/>
    <w:rsid w:val="00B823E6"/>
    <w:rsid w:val="00B9536E"/>
    <w:rsid w:val="00BB255B"/>
    <w:rsid w:val="00BC1251"/>
    <w:rsid w:val="00BC4D67"/>
    <w:rsid w:val="00BC5837"/>
    <w:rsid w:val="00BD0D0D"/>
    <w:rsid w:val="00BE6EDA"/>
    <w:rsid w:val="00BE7C2D"/>
    <w:rsid w:val="00BF4FCE"/>
    <w:rsid w:val="00C0425D"/>
    <w:rsid w:val="00C24A51"/>
    <w:rsid w:val="00C26333"/>
    <w:rsid w:val="00C26E79"/>
    <w:rsid w:val="00C36D1C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E7AA1"/>
    <w:rsid w:val="00D01522"/>
    <w:rsid w:val="00D03086"/>
    <w:rsid w:val="00D06D0A"/>
    <w:rsid w:val="00D26118"/>
    <w:rsid w:val="00D26551"/>
    <w:rsid w:val="00D37B52"/>
    <w:rsid w:val="00D42AE2"/>
    <w:rsid w:val="00D46998"/>
    <w:rsid w:val="00D558F4"/>
    <w:rsid w:val="00D569FE"/>
    <w:rsid w:val="00D572B0"/>
    <w:rsid w:val="00DA2E4B"/>
    <w:rsid w:val="00DB2836"/>
    <w:rsid w:val="00DB4DEE"/>
    <w:rsid w:val="00DB5920"/>
    <w:rsid w:val="00DB7880"/>
    <w:rsid w:val="00DC5C33"/>
    <w:rsid w:val="00DD7BD3"/>
    <w:rsid w:val="00DE3D49"/>
    <w:rsid w:val="00DF0E4A"/>
    <w:rsid w:val="00E0333E"/>
    <w:rsid w:val="00E04880"/>
    <w:rsid w:val="00E16FFA"/>
    <w:rsid w:val="00E4095A"/>
    <w:rsid w:val="00E40CDC"/>
    <w:rsid w:val="00E50035"/>
    <w:rsid w:val="00E550A3"/>
    <w:rsid w:val="00E60EBA"/>
    <w:rsid w:val="00E619FA"/>
    <w:rsid w:val="00E66A89"/>
    <w:rsid w:val="00E71011"/>
    <w:rsid w:val="00E85AD0"/>
    <w:rsid w:val="00EB54FA"/>
    <w:rsid w:val="00EB5AE7"/>
    <w:rsid w:val="00EB5B77"/>
    <w:rsid w:val="00EC5EFB"/>
    <w:rsid w:val="00EC7489"/>
    <w:rsid w:val="00F07994"/>
    <w:rsid w:val="00F14640"/>
    <w:rsid w:val="00F154FF"/>
    <w:rsid w:val="00F16785"/>
    <w:rsid w:val="00F52BD6"/>
    <w:rsid w:val="00F55BA0"/>
    <w:rsid w:val="00F622CF"/>
    <w:rsid w:val="00F6498B"/>
    <w:rsid w:val="00F72C71"/>
    <w:rsid w:val="00F7565F"/>
    <w:rsid w:val="00F80CEB"/>
    <w:rsid w:val="00F83B4A"/>
    <w:rsid w:val="00F90507"/>
    <w:rsid w:val="00F90CC7"/>
    <w:rsid w:val="00F90F8B"/>
    <w:rsid w:val="00F91556"/>
    <w:rsid w:val="00F9661E"/>
    <w:rsid w:val="00FA134B"/>
    <w:rsid w:val="00FA6508"/>
    <w:rsid w:val="00FB5977"/>
    <w:rsid w:val="00FB70D8"/>
    <w:rsid w:val="00FC1F2B"/>
    <w:rsid w:val="00FC3E3F"/>
    <w:rsid w:val="00FD7390"/>
    <w:rsid w:val="00FE0B67"/>
    <w:rsid w:val="00FF027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9953A-901E-4712-B650-B0CB12E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D0DC-ECBA-4EA2-83E6-CE8D3DB9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1542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subject/>
  <dc:creator>Neumannová Hana</dc:creator>
  <cp:keywords/>
  <cp:lastModifiedBy>pc</cp:lastModifiedBy>
  <cp:revision>5</cp:revision>
  <cp:lastPrinted>2019-02-01T13:22:00Z</cp:lastPrinted>
  <dcterms:created xsi:type="dcterms:W3CDTF">2019-02-01T11:19:00Z</dcterms:created>
  <dcterms:modified xsi:type="dcterms:W3CDTF">2019-02-01T13:33:00Z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